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0B" w:rsidRDefault="00F8180B" w:rsidP="00C17FAF">
      <w:pPr>
        <w:jc w:val="center"/>
        <w:rPr>
          <w:b/>
        </w:rPr>
      </w:pPr>
    </w:p>
    <w:p w:rsidR="00F8180B" w:rsidRDefault="00F8180B" w:rsidP="00C17FAF">
      <w:pPr>
        <w:jc w:val="center"/>
        <w:rPr>
          <w:b/>
        </w:rPr>
      </w:pPr>
    </w:p>
    <w:p w:rsidR="00C17FAF" w:rsidRPr="00F8180B" w:rsidRDefault="00F8180B" w:rsidP="00C17FAF">
      <w:pPr>
        <w:jc w:val="center"/>
        <w:rPr>
          <w:rFonts w:ascii="Century Gothic" w:hAnsi="Century Gothic"/>
          <w:b/>
        </w:rPr>
      </w:pPr>
      <w:r w:rsidRPr="00F8180B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099C13CE">
            <wp:simplePos x="0" y="0"/>
            <wp:positionH relativeFrom="margin">
              <wp:posOffset>1862593</wp:posOffset>
            </wp:positionH>
            <wp:positionV relativeFrom="margin">
              <wp:posOffset>-723569</wp:posOffset>
            </wp:positionV>
            <wp:extent cx="1824355" cy="1005840"/>
            <wp:effectExtent l="0" t="0" r="444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drézieux-Bouthéon g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FAF" w:rsidRPr="00F8180B">
        <w:rPr>
          <w:rFonts w:ascii="Century Gothic" w:hAnsi="Century Gothic"/>
          <w:b/>
        </w:rPr>
        <w:t>LISTE DES DELIBERATIONS EXAMINEES</w:t>
      </w:r>
    </w:p>
    <w:p w:rsidR="00CB1AE1" w:rsidRPr="00F8180B" w:rsidRDefault="00C17FAF" w:rsidP="00C17FAF">
      <w:pPr>
        <w:jc w:val="center"/>
        <w:rPr>
          <w:rFonts w:ascii="Century Gothic" w:hAnsi="Century Gothic"/>
          <w:b/>
        </w:rPr>
      </w:pPr>
      <w:r w:rsidRPr="00F8180B">
        <w:rPr>
          <w:rFonts w:ascii="Century Gothic" w:hAnsi="Century Gothic"/>
          <w:b/>
        </w:rPr>
        <w:t>LORS DE LA SEANCE DU 5 SEPTEMBRE 2022</w:t>
      </w:r>
    </w:p>
    <w:p w:rsidR="00C17FAF" w:rsidRDefault="00C17FAF" w:rsidP="00C17FAF">
      <w:pPr>
        <w:jc w:val="center"/>
        <w:rPr>
          <w:rFonts w:ascii="Century Gothic" w:hAnsi="Century Gothic"/>
          <w:b/>
        </w:rPr>
      </w:pPr>
    </w:p>
    <w:p w:rsidR="0092535B" w:rsidRPr="0092535B" w:rsidRDefault="0092535B" w:rsidP="0092535B">
      <w:pPr>
        <w:jc w:val="both"/>
        <w:rPr>
          <w:rFonts w:ascii="Century Gothic" w:hAnsi="Century Gothic"/>
          <w:sz w:val="20"/>
          <w:szCs w:val="20"/>
        </w:rPr>
      </w:pPr>
      <w:r w:rsidRPr="0092535B">
        <w:rPr>
          <w:rFonts w:ascii="Century Gothic" w:hAnsi="Century Gothic"/>
          <w:sz w:val="20"/>
          <w:szCs w:val="20"/>
        </w:rPr>
        <w:t>Le 5 septembre 2022, à dix-neuf heures, le Conseil Municipal de la Commune d’Andrézieux-Bouthéon, dûment convoqué, s’est réuni en session ordinaire, à la Mairie, sous la présidence de Monsieur François DRIOL, Maire</w:t>
      </w:r>
    </w:p>
    <w:p w:rsidR="0092535B" w:rsidRPr="0092535B" w:rsidRDefault="0092535B" w:rsidP="0092535B">
      <w:pPr>
        <w:jc w:val="both"/>
        <w:rPr>
          <w:rFonts w:ascii="Century Gothic" w:hAnsi="Century Gothic"/>
          <w:sz w:val="20"/>
          <w:szCs w:val="20"/>
        </w:rPr>
      </w:pPr>
      <w:r w:rsidRPr="0092535B">
        <w:rPr>
          <w:rFonts w:ascii="Century Gothic" w:hAnsi="Century Gothic"/>
          <w:sz w:val="20"/>
          <w:szCs w:val="20"/>
        </w:rPr>
        <w:t>Nombre de membres en exercice : 29</w:t>
      </w:r>
    </w:p>
    <w:p w:rsidR="0092535B" w:rsidRPr="0092535B" w:rsidRDefault="0092535B" w:rsidP="0092535B">
      <w:pPr>
        <w:jc w:val="both"/>
        <w:rPr>
          <w:rFonts w:ascii="Century Gothic" w:hAnsi="Century Gothic"/>
          <w:sz w:val="20"/>
          <w:szCs w:val="20"/>
        </w:rPr>
      </w:pPr>
      <w:r w:rsidRPr="0092535B">
        <w:rPr>
          <w:rFonts w:ascii="Century Gothic" w:hAnsi="Century Gothic"/>
          <w:sz w:val="20"/>
          <w:szCs w:val="20"/>
        </w:rPr>
        <w:t>Date de convocation du Conseil Municipal : le 30 août 2022</w:t>
      </w:r>
    </w:p>
    <w:p w:rsidR="0092535B" w:rsidRPr="0092535B" w:rsidRDefault="0092535B" w:rsidP="0092535B">
      <w:pPr>
        <w:jc w:val="both"/>
        <w:rPr>
          <w:rFonts w:ascii="Century Gothic" w:hAnsi="Century Gothic"/>
          <w:sz w:val="12"/>
          <w:szCs w:val="12"/>
        </w:rPr>
      </w:pPr>
    </w:p>
    <w:p w:rsidR="0092535B" w:rsidRPr="0092535B" w:rsidRDefault="0092535B" w:rsidP="0092535B">
      <w:pPr>
        <w:jc w:val="both"/>
        <w:rPr>
          <w:rFonts w:ascii="Century Gothic" w:hAnsi="Century Gothic"/>
          <w:sz w:val="20"/>
          <w:szCs w:val="20"/>
        </w:rPr>
      </w:pPr>
      <w:r w:rsidRPr="0092535B">
        <w:rPr>
          <w:rFonts w:ascii="Century Gothic" w:hAnsi="Century Gothic"/>
          <w:b/>
          <w:bCs/>
          <w:sz w:val="20"/>
          <w:szCs w:val="20"/>
          <w:u w:val="single"/>
        </w:rPr>
        <w:t>Présents</w:t>
      </w:r>
      <w:r w:rsidRPr="0092535B">
        <w:rPr>
          <w:rFonts w:ascii="Century Gothic" w:hAnsi="Century Gothic"/>
          <w:sz w:val="20"/>
          <w:szCs w:val="20"/>
        </w:rPr>
        <w:t> : Mesdames et Messieurs DRIOL, MONTEUX, BRUEL, VOCANSON, FABRE, CHAPOT, MONTAGNON, INCORVAIA, DUCREUX, SPADA, GALONNET, GRANGE, DUMAZET, BOIS-CARTAL, FAVEYRIAL, ROBERT, MAGALHAES, KHEBRARA, KARA, MARRET, MOINE, CEYTE, SORGI, CAMPEGGIA, PONSON, RODRIGUES.</w:t>
      </w:r>
    </w:p>
    <w:p w:rsidR="0092535B" w:rsidRPr="0092535B" w:rsidRDefault="0092535B" w:rsidP="0092535B">
      <w:pPr>
        <w:jc w:val="both"/>
        <w:rPr>
          <w:rFonts w:ascii="Century Gothic" w:hAnsi="Century Gothic"/>
          <w:sz w:val="12"/>
          <w:szCs w:val="12"/>
        </w:rPr>
      </w:pPr>
    </w:p>
    <w:p w:rsidR="0092535B" w:rsidRPr="0092535B" w:rsidRDefault="0092535B" w:rsidP="0092535B">
      <w:pPr>
        <w:jc w:val="both"/>
        <w:rPr>
          <w:rFonts w:ascii="Century Gothic" w:hAnsi="Century Gothic"/>
          <w:sz w:val="20"/>
          <w:szCs w:val="20"/>
        </w:rPr>
      </w:pPr>
      <w:r w:rsidRPr="0092535B">
        <w:rPr>
          <w:rFonts w:ascii="Century Gothic" w:hAnsi="Century Gothic"/>
          <w:b/>
          <w:bCs/>
          <w:sz w:val="20"/>
          <w:szCs w:val="20"/>
          <w:u w:val="single"/>
        </w:rPr>
        <w:t>Procurations</w:t>
      </w:r>
      <w:r w:rsidRPr="0092535B">
        <w:rPr>
          <w:rFonts w:ascii="Century Gothic" w:hAnsi="Century Gothic"/>
          <w:sz w:val="20"/>
          <w:szCs w:val="20"/>
        </w:rPr>
        <w:t> : Madame SEGUIN à Madame FABRE, Madame MONTET-FRANC à Madame MONTAGNON.</w:t>
      </w:r>
    </w:p>
    <w:p w:rsidR="0092535B" w:rsidRPr="0092535B" w:rsidRDefault="0092535B" w:rsidP="0092535B">
      <w:pPr>
        <w:jc w:val="both"/>
        <w:rPr>
          <w:rFonts w:ascii="Century Gothic" w:hAnsi="Century Gothic"/>
          <w:sz w:val="12"/>
          <w:szCs w:val="12"/>
        </w:rPr>
      </w:pPr>
    </w:p>
    <w:p w:rsidR="0092535B" w:rsidRPr="0092535B" w:rsidRDefault="0092535B" w:rsidP="0092535B">
      <w:pPr>
        <w:jc w:val="both"/>
        <w:rPr>
          <w:rFonts w:ascii="Century Gothic" w:hAnsi="Century Gothic"/>
          <w:sz w:val="20"/>
          <w:szCs w:val="20"/>
        </w:rPr>
      </w:pPr>
      <w:r w:rsidRPr="0092535B">
        <w:rPr>
          <w:rFonts w:ascii="Century Gothic" w:hAnsi="Century Gothic"/>
          <w:b/>
          <w:bCs/>
          <w:sz w:val="20"/>
          <w:szCs w:val="20"/>
          <w:u w:val="single"/>
        </w:rPr>
        <w:t>Absent</w:t>
      </w:r>
      <w:r w:rsidRPr="0092535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2535B">
        <w:rPr>
          <w:rFonts w:ascii="Century Gothic" w:hAnsi="Century Gothic"/>
          <w:sz w:val="20"/>
          <w:szCs w:val="20"/>
        </w:rPr>
        <w:t>: Monsieur PEPIN.</w:t>
      </w:r>
    </w:p>
    <w:p w:rsidR="0092535B" w:rsidRPr="0092535B" w:rsidRDefault="0092535B" w:rsidP="0092535B">
      <w:pPr>
        <w:jc w:val="both"/>
        <w:rPr>
          <w:rFonts w:ascii="Century Gothic" w:hAnsi="Century Gothic"/>
          <w:sz w:val="12"/>
          <w:szCs w:val="12"/>
        </w:rPr>
      </w:pPr>
    </w:p>
    <w:p w:rsidR="0092535B" w:rsidRPr="0092535B" w:rsidRDefault="0092535B" w:rsidP="0092535B">
      <w:pPr>
        <w:jc w:val="both"/>
        <w:rPr>
          <w:rFonts w:ascii="Century Gothic" w:hAnsi="Century Gothic"/>
          <w:bCs/>
          <w:sz w:val="20"/>
          <w:szCs w:val="20"/>
        </w:rPr>
      </w:pPr>
      <w:r w:rsidRPr="0092535B">
        <w:rPr>
          <w:rFonts w:ascii="Century Gothic" w:hAnsi="Century Gothic"/>
          <w:b/>
          <w:bCs/>
          <w:sz w:val="20"/>
          <w:szCs w:val="20"/>
          <w:u w:val="single"/>
        </w:rPr>
        <w:t>Secrétaire</w:t>
      </w:r>
      <w:r w:rsidRPr="0092535B">
        <w:rPr>
          <w:rFonts w:ascii="Century Gothic" w:hAnsi="Century Gothic"/>
          <w:bCs/>
          <w:sz w:val="20"/>
          <w:szCs w:val="20"/>
        </w:rPr>
        <w:t> : Monsieur MARRET.</w:t>
      </w:r>
    </w:p>
    <w:p w:rsidR="00640763" w:rsidRDefault="00640763" w:rsidP="00640763">
      <w:pPr>
        <w:jc w:val="both"/>
        <w:rPr>
          <w:rFonts w:ascii="Century Gothic" w:hAnsi="Century Gothic"/>
          <w:bCs/>
          <w:sz w:val="20"/>
          <w:szCs w:val="20"/>
        </w:rPr>
      </w:pPr>
    </w:p>
    <w:p w:rsidR="00640763" w:rsidRDefault="00640763" w:rsidP="00640763">
      <w:pPr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 - - - - - - - - -- - - - - - - - - - -</w:t>
      </w:r>
    </w:p>
    <w:p w:rsidR="00640763" w:rsidRPr="00640763" w:rsidRDefault="00640763" w:rsidP="00640763">
      <w:pPr>
        <w:jc w:val="center"/>
        <w:rPr>
          <w:rFonts w:ascii="Century Gothic" w:hAnsi="Century Gothic"/>
          <w:bCs/>
          <w:sz w:val="20"/>
          <w:szCs w:val="20"/>
        </w:rPr>
      </w:pPr>
    </w:p>
    <w:p w:rsidR="00CF0BB6" w:rsidRPr="00CF0BB6" w:rsidRDefault="001318D2" w:rsidP="00CF0BB6">
      <w:pPr>
        <w:rPr>
          <w:rFonts w:ascii="Century Gothic" w:hAnsi="Century Gothic"/>
          <w:sz w:val="20"/>
          <w:szCs w:val="20"/>
        </w:rPr>
      </w:pPr>
      <w:r w:rsidRPr="004648D8">
        <w:rPr>
          <w:rFonts w:ascii="Century Gothic" w:hAnsi="Century Gothic"/>
          <w:sz w:val="20"/>
          <w:szCs w:val="20"/>
        </w:rPr>
        <w:t xml:space="preserve">Approbation du procès-verbal </w:t>
      </w:r>
      <w:r w:rsidR="00CF0BB6" w:rsidRPr="004648D8">
        <w:rPr>
          <w:rFonts w:ascii="Century Gothic" w:hAnsi="Century Gothic"/>
          <w:sz w:val="20"/>
          <w:szCs w:val="20"/>
        </w:rPr>
        <w:t>du conseil municipal du 27.06.2022</w:t>
      </w:r>
      <w:r w:rsidRPr="004648D8">
        <w:rPr>
          <w:rFonts w:ascii="Century Gothic" w:hAnsi="Century Gothic"/>
          <w:sz w:val="20"/>
          <w:szCs w:val="20"/>
        </w:rPr>
        <w:t>, à l’unanimité.</w:t>
      </w:r>
    </w:p>
    <w:p w:rsidR="00CF0BB6" w:rsidRPr="00F8180B" w:rsidRDefault="00CF0BB6" w:rsidP="00C17FAF">
      <w:pPr>
        <w:jc w:val="center"/>
        <w:rPr>
          <w:rFonts w:ascii="Century Gothic" w:hAnsi="Century Gothic"/>
          <w:b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5277"/>
        <w:gridCol w:w="1555"/>
        <w:gridCol w:w="2240"/>
      </w:tblGrid>
      <w:tr w:rsidR="004648D8" w:rsidRPr="004648D8" w:rsidTr="00A35C3D">
        <w:trPr>
          <w:trHeight w:val="304"/>
        </w:trPr>
        <w:tc>
          <w:tcPr>
            <w:tcW w:w="1134" w:type="dxa"/>
            <w:shd w:val="clear" w:color="auto" w:fill="44546A" w:themeFill="text2"/>
            <w:vAlign w:val="center"/>
          </w:tcPr>
          <w:p w:rsidR="004648D8" w:rsidRPr="004648D8" w:rsidRDefault="004648D8" w:rsidP="00C17FAF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Numéro</w:t>
            </w:r>
          </w:p>
        </w:tc>
        <w:tc>
          <w:tcPr>
            <w:tcW w:w="5277" w:type="dxa"/>
            <w:shd w:val="clear" w:color="auto" w:fill="44546A" w:themeFill="text2"/>
            <w:vAlign w:val="center"/>
          </w:tcPr>
          <w:p w:rsidR="004648D8" w:rsidRPr="004648D8" w:rsidRDefault="004648D8" w:rsidP="00C17FAF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Titre</w:t>
            </w:r>
          </w:p>
        </w:tc>
        <w:tc>
          <w:tcPr>
            <w:tcW w:w="1555" w:type="dxa"/>
            <w:shd w:val="clear" w:color="auto" w:fill="44546A" w:themeFill="text2"/>
          </w:tcPr>
          <w:p w:rsidR="004648D8" w:rsidRPr="004648D8" w:rsidRDefault="004648D8" w:rsidP="00C17FAF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Rapporteur</w:t>
            </w:r>
          </w:p>
        </w:tc>
        <w:tc>
          <w:tcPr>
            <w:tcW w:w="2240" w:type="dxa"/>
            <w:shd w:val="clear" w:color="auto" w:fill="44546A" w:themeFill="text2"/>
            <w:vAlign w:val="center"/>
          </w:tcPr>
          <w:p w:rsidR="004648D8" w:rsidRPr="004648D8" w:rsidRDefault="004648D8" w:rsidP="00C17FAF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Décision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C17FAF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2022-70</w:t>
            </w:r>
          </w:p>
        </w:tc>
        <w:tc>
          <w:tcPr>
            <w:tcW w:w="5277" w:type="dxa"/>
            <w:vAlign w:val="center"/>
          </w:tcPr>
          <w:p w:rsidR="004648D8" w:rsidRPr="00640763" w:rsidRDefault="004648D8" w:rsidP="00392B3F">
            <w:pPr>
              <w:ind w:right="174"/>
              <w:rPr>
                <w:rFonts w:ascii="Century Gothic" w:hAnsi="Century Gothic"/>
                <w:i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 xml:space="preserve">Installation d’une nouvelle Conseillère Municipale </w:t>
            </w:r>
          </w:p>
        </w:tc>
        <w:tc>
          <w:tcPr>
            <w:tcW w:w="1555" w:type="dxa"/>
          </w:tcPr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 Driol</w:t>
            </w:r>
          </w:p>
        </w:tc>
        <w:tc>
          <w:tcPr>
            <w:tcW w:w="2240" w:type="dxa"/>
            <w:vAlign w:val="center"/>
          </w:tcPr>
          <w:p w:rsidR="004648D8" w:rsidRPr="00F8180B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Adoptée à l’unanimité </w:t>
            </w:r>
            <w:r w:rsidRPr="000D0070">
              <w:rPr>
                <w:rFonts w:ascii="Century Gothic" w:hAnsi="Century Gothic"/>
                <w:sz w:val="20"/>
                <w:szCs w:val="20"/>
              </w:rPr>
              <w:t>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C17FAF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2022-71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C17FAF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Modification de la composition des groupes de travail</w:t>
            </w:r>
          </w:p>
          <w:p w:rsidR="004648D8" w:rsidRPr="00F8180B" w:rsidRDefault="004648D8" w:rsidP="00640763">
            <w:pPr>
              <w:ind w:right="17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5" w:type="dxa"/>
          </w:tcPr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 Driol</w:t>
            </w:r>
          </w:p>
        </w:tc>
        <w:tc>
          <w:tcPr>
            <w:tcW w:w="2240" w:type="dxa"/>
            <w:vAlign w:val="center"/>
          </w:tcPr>
          <w:p w:rsidR="004648D8" w:rsidRPr="00F8180B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Adoptée à l’unanimité </w:t>
            </w:r>
            <w:r w:rsidRPr="000D0070">
              <w:rPr>
                <w:rFonts w:ascii="Century Gothic" w:hAnsi="Century Gothic"/>
                <w:sz w:val="20"/>
                <w:szCs w:val="20"/>
              </w:rPr>
              <w:t>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C17FAF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2022-72</w:t>
            </w:r>
          </w:p>
        </w:tc>
        <w:tc>
          <w:tcPr>
            <w:tcW w:w="5277" w:type="dxa"/>
            <w:vAlign w:val="center"/>
          </w:tcPr>
          <w:p w:rsidR="004648D8" w:rsidRDefault="004648D8" w:rsidP="00C17FAF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Modification du tableau des effectifs</w:t>
            </w:r>
          </w:p>
          <w:p w:rsidR="004648D8" w:rsidRDefault="004648D8" w:rsidP="00C17FAF">
            <w:pPr>
              <w:ind w:right="174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92535B" w:rsidRDefault="004648D8" w:rsidP="0092535B">
            <w:pPr>
              <w:ind w:right="174"/>
              <w:rPr>
                <w:rFonts w:ascii="Century Gothic" w:eastAsia="Calibri" w:hAnsi="Century Gothic"/>
                <w:i/>
                <w:sz w:val="20"/>
                <w:szCs w:val="20"/>
                <w:u w:val="single"/>
                <w:lang w:eastAsia="en-US"/>
              </w:rPr>
            </w:pPr>
            <w:r w:rsidRPr="0092535B">
              <w:rPr>
                <w:rFonts w:ascii="Century Gothic" w:eastAsia="Calibri" w:hAnsi="Century Gothic"/>
                <w:i/>
                <w:sz w:val="20"/>
                <w:szCs w:val="20"/>
                <w:u w:val="single"/>
                <w:lang w:eastAsia="en-US"/>
              </w:rPr>
              <w:t>Vote pour la « filière administrative »</w:t>
            </w:r>
          </w:p>
          <w:p w:rsidR="004648D8" w:rsidRPr="0092535B" w:rsidRDefault="004648D8" w:rsidP="0092535B">
            <w:pPr>
              <w:ind w:left="172" w:right="174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92535B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23 voix pour</w:t>
            </w:r>
          </w:p>
          <w:p w:rsidR="004648D8" w:rsidRPr="0092535B" w:rsidRDefault="004648D8" w:rsidP="0092535B">
            <w:pPr>
              <w:ind w:left="172" w:right="174"/>
              <w:rPr>
                <w:rFonts w:ascii="Century Gothic" w:hAnsi="Century Gothic"/>
                <w:i/>
                <w:sz w:val="20"/>
                <w:szCs w:val="20"/>
              </w:rPr>
            </w:pPr>
            <w:r w:rsidRPr="0092535B">
              <w:rPr>
                <w:rFonts w:ascii="Century Gothic" w:hAnsi="Century Gothic"/>
                <w:i/>
                <w:sz w:val="20"/>
                <w:szCs w:val="20"/>
              </w:rPr>
              <w:t>5 voix contre (Groupe Changeons de Cap)</w:t>
            </w:r>
          </w:p>
          <w:p w:rsidR="004648D8" w:rsidRDefault="004648D8" w:rsidP="0092535B">
            <w:pPr>
              <w:ind w:right="174"/>
              <w:rPr>
                <w:rFonts w:ascii="Century Gothic" w:eastAsia="Calibri" w:hAnsi="Century Gothic"/>
                <w:i/>
                <w:sz w:val="20"/>
                <w:szCs w:val="20"/>
                <w:u w:val="single"/>
                <w:lang w:eastAsia="en-US"/>
              </w:rPr>
            </w:pPr>
          </w:p>
          <w:p w:rsidR="004648D8" w:rsidRPr="0092535B" w:rsidRDefault="004648D8" w:rsidP="0092535B">
            <w:pPr>
              <w:ind w:right="174"/>
              <w:rPr>
                <w:rFonts w:ascii="Century Gothic" w:eastAsia="Calibri" w:hAnsi="Century Gothic"/>
                <w:i/>
                <w:sz w:val="20"/>
                <w:szCs w:val="20"/>
                <w:u w:val="single"/>
                <w:lang w:eastAsia="en-US"/>
              </w:rPr>
            </w:pPr>
            <w:r w:rsidRPr="0092535B">
              <w:rPr>
                <w:rFonts w:ascii="Century Gothic" w:eastAsia="Calibri" w:hAnsi="Century Gothic"/>
                <w:i/>
                <w:sz w:val="20"/>
                <w:szCs w:val="20"/>
                <w:u w:val="single"/>
                <w:lang w:eastAsia="en-US"/>
              </w:rPr>
              <w:t>Vote pour les filière « médico-sociale et culturelle » :</w:t>
            </w:r>
          </w:p>
          <w:p w:rsidR="004648D8" w:rsidRPr="001318D2" w:rsidRDefault="004648D8" w:rsidP="0092535B">
            <w:pPr>
              <w:ind w:left="172"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92535B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Unanimité</w:t>
            </w:r>
          </w:p>
        </w:tc>
        <w:tc>
          <w:tcPr>
            <w:tcW w:w="1555" w:type="dxa"/>
          </w:tcPr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Monteux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Adoptée à la </w:t>
            </w:r>
            <w:r w:rsidRPr="004648D8">
              <w:rPr>
                <w:rFonts w:ascii="Century Gothic" w:hAnsi="Century Gothic"/>
                <w:sz w:val="20"/>
                <w:szCs w:val="20"/>
              </w:rPr>
              <w:t>majorité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D0070">
              <w:rPr>
                <w:rFonts w:ascii="Century Gothic" w:hAnsi="Century Gothic"/>
                <w:sz w:val="20"/>
                <w:szCs w:val="20"/>
              </w:rPr>
              <w:t>des suffrages exprimés</w:t>
            </w:r>
          </w:p>
          <w:p w:rsidR="004648D8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F8180B" w:rsidRDefault="004648D8" w:rsidP="0092535B">
            <w:pPr>
              <w:ind w:right="14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Adopté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2022-73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Recours au contrat d’apprentissage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870DE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Monteux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870DE8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2022-74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Mandat spécial pour le déplacement d’un élu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870DE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Monteux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870DE8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2022-75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Recours à des vacataires pour participation aux jurys d’examen du conservatoire</w:t>
            </w:r>
            <w:bookmarkStart w:id="0" w:name="_Hlk112313475"/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870DE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Monteux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870DE8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2022-76</w:t>
            </w:r>
          </w:p>
        </w:tc>
        <w:tc>
          <w:tcPr>
            <w:tcW w:w="5277" w:type="dxa"/>
            <w:vAlign w:val="center"/>
          </w:tcPr>
          <w:p w:rsidR="004648D8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NOVIM : approbation du CRACL 2021 de la ZAC des Terrasses d’Andrézieux</w:t>
            </w:r>
          </w:p>
          <w:p w:rsidR="004648D8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648D8" w:rsidRPr="0092535B" w:rsidRDefault="004648D8" w:rsidP="0092535B">
            <w:pPr>
              <w:ind w:right="174"/>
              <w:rPr>
                <w:rFonts w:ascii="Century Gothic" w:hAnsi="Century Gothic"/>
                <w:i/>
                <w:sz w:val="20"/>
                <w:szCs w:val="20"/>
              </w:rPr>
            </w:pPr>
            <w:r w:rsidRPr="0092535B">
              <w:rPr>
                <w:rFonts w:ascii="Century Gothic" w:hAnsi="Century Gothic"/>
                <w:i/>
                <w:sz w:val="20"/>
                <w:szCs w:val="20"/>
              </w:rPr>
              <w:t>23 voix pour et 5 abstentions (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G</w:t>
            </w:r>
            <w:r w:rsidRPr="0092535B">
              <w:rPr>
                <w:rFonts w:ascii="Century Gothic" w:hAnsi="Century Gothic"/>
                <w:i/>
                <w:sz w:val="20"/>
                <w:szCs w:val="20"/>
              </w:rPr>
              <w:t>roupe Changeons de Cap)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870DE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Monteux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870DE8">
              <w:rPr>
                <w:rFonts w:ascii="Century Gothic" w:hAnsi="Century Gothic"/>
                <w:sz w:val="20"/>
                <w:szCs w:val="20"/>
              </w:rPr>
              <w:t>Adoptée à 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4648D8">
              <w:rPr>
                <w:rFonts w:ascii="Century Gothic" w:hAnsi="Century Gothic"/>
                <w:sz w:val="20"/>
                <w:szCs w:val="20"/>
              </w:rPr>
              <w:t>majorité</w:t>
            </w:r>
            <w:r w:rsidRPr="00870DE8">
              <w:rPr>
                <w:rFonts w:ascii="Century Gothic" w:hAnsi="Century Gothic"/>
                <w:sz w:val="20"/>
                <w:szCs w:val="20"/>
              </w:rPr>
              <w:t xml:space="preserve"> des suffrages exprimés</w:t>
            </w:r>
          </w:p>
        </w:tc>
      </w:tr>
      <w:tr w:rsidR="00A35C3D" w:rsidRPr="004648D8" w:rsidTr="00A35C3D">
        <w:trPr>
          <w:trHeight w:val="304"/>
        </w:trPr>
        <w:tc>
          <w:tcPr>
            <w:tcW w:w="1134" w:type="dxa"/>
            <w:shd w:val="clear" w:color="auto" w:fill="44546A" w:themeFill="text2"/>
            <w:vAlign w:val="center"/>
          </w:tcPr>
          <w:p w:rsidR="00A35C3D" w:rsidRPr="004648D8" w:rsidRDefault="00A35C3D" w:rsidP="00E30C62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Numéro</w:t>
            </w:r>
          </w:p>
        </w:tc>
        <w:tc>
          <w:tcPr>
            <w:tcW w:w="5277" w:type="dxa"/>
            <w:shd w:val="clear" w:color="auto" w:fill="44546A" w:themeFill="text2"/>
            <w:vAlign w:val="center"/>
          </w:tcPr>
          <w:p w:rsidR="00A35C3D" w:rsidRPr="004648D8" w:rsidRDefault="00A35C3D" w:rsidP="00E30C62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Titre</w:t>
            </w:r>
          </w:p>
        </w:tc>
        <w:tc>
          <w:tcPr>
            <w:tcW w:w="1555" w:type="dxa"/>
            <w:shd w:val="clear" w:color="auto" w:fill="44546A" w:themeFill="text2"/>
          </w:tcPr>
          <w:p w:rsidR="00A35C3D" w:rsidRPr="004648D8" w:rsidRDefault="00A35C3D" w:rsidP="00E30C62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Rapporteur</w:t>
            </w:r>
          </w:p>
        </w:tc>
        <w:tc>
          <w:tcPr>
            <w:tcW w:w="2240" w:type="dxa"/>
            <w:shd w:val="clear" w:color="auto" w:fill="44546A" w:themeFill="text2"/>
            <w:vAlign w:val="center"/>
          </w:tcPr>
          <w:p w:rsidR="00A35C3D" w:rsidRPr="004648D8" w:rsidRDefault="00A35C3D" w:rsidP="00E30C62">
            <w:pPr>
              <w:ind w:right="142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648D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Décision</w:t>
            </w:r>
          </w:p>
        </w:tc>
      </w:tr>
      <w:bookmarkEnd w:id="0"/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2022-77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Constitution d’une servitude sur la parcelle cadastrée section BN n° 115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870DE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Monteux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870DE8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2022-78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Autorisation d’urbanisme pour des travaux pour le groupe scolaire Victor HUGO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706F65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 Dumazet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706F65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2022-79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SIEL-TE LOIRE : conventions pour une installation photovoltaïque sur le site BAUDRAS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706F65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 Dumazet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706F65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2022-80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SEM : convention d’occupation de câbles sur le réservoir d’eau de La Chapelle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706F65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 Dumazet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706F65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2022-81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Renouvellement de la convention relative à l’utilisation des équipements sportifs avec le Département de la Loire et le collège J. PREVERT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706F65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 Chapot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706F65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2022-82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 xml:space="preserve">Renouvellement de la convention entre la Ville et le CCAS d’Andrézieux-Bouthéon 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706F65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 Bruel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706F65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737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2022-83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Convention cadre pour l’accueil d’expositions artistiques temporaires au sein d’un équipement municipal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706F65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 Fabre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706F65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  <w:tr w:rsidR="004648D8" w:rsidRPr="00F8180B" w:rsidTr="00A35C3D">
        <w:trPr>
          <w:trHeight w:val="1020"/>
        </w:trPr>
        <w:tc>
          <w:tcPr>
            <w:tcW w:w="1134" w:type="dxa"/>
            <w:vAlign w:val="center"/>
          </w:tcPr>
          <w:p w:rsidR="004648D8" w:rsidRPr="001318D2" w:rsidRDefault="004648D8" w:rsidP="0092535B">
            <w:pPr>
              <w:ind w:right="-2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2022-84</w:t>
            </w:r>
          </w:p>
        </w:tc>
        <w:tc>
          <w:tcPr>
            <w:tcW w:w="5277" w:type="dxa"/>
            <w:vAlign w:val="center"/>
          </w:tcPr>
          <w:p w:rsidR="004648D8" w:rsidRPr="001318D2" w:rsidRDefault="004648D8" w:rsidP="0092535B">
            <w:pPr>
              <w:ind w:right="174"/>
              <w:rPr>
                <w:rFonts w:ascii="Century Gothic" w:hAnsi="Century Gothic"/>
                <w:b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SEM : convention de mise à disposition du téléservice</w:t>
            </w:r>
          </w:p>
          <w:p w:rsidR="004648D8" w:rsidRPr="00F8180B" w:rsidRDefault="004648D8" w:rsidP="0092535B">
            <w:pPr>
              <w:ind w:right="174"/>
              <w:rPr>
                <w:rFonts w:ascii="Century Gothic" w:hAnsi="Century Gothic"/>
                <w:sz w:val="20"/>
                <w:szCs w:val="20"/>
              </w:rPr>
            </w:pPr>
            <w:r w:rsidRPr="001318D2">
              <w:rPr>
                <w:rFonts w:ascii="Century Gothic" w:hAnsi="Century Gothic"/>
                <w:b/>
                <w:sz w:val="20"/>
                <w:szCs w:val="20"/>
              </w:rPr>
              <w:t>« DECLALOC CERFA » pour la déclaration de meublés de tourisme et chambres d’hôtes</w:t>
            </w:r>
          </w:p>
        </w:tc>
        <w:tc>
          <w:tcPr>
            <w:tcW w:w="1555" w:type="dxa"/>
          </w:tcPr>
          <w:p w:rsidR="004648D8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48D8" w:rsidRPr="00706F65" w:rsidRDefault="004648D8" w:rsidP="009253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 Monteux</w:t>
            </w:r>
          </w:p>
        </w:tc>
        <w:tc>
          <w:tcPr>
            <w:tcW w:w="2240" w:type="dxa"/>
            <w:vAlign w:val="center"/>
          </w:tcPr>
          <w:p w:rsidR="004648D8" w:rsidRDefault="004648D8" w:rsidP="0092535B">
            <w:pPr>
              <w:jc w:val="center"/>
            </w:pPr>
            <w:r w:rsidRPr="00706F65">
              <w:rPr>
                <w:rFonts w:ascii="Century Gothic" w:hAnsi="Century Gothic"/>
                <w:sz w:val="20"/>
                <w:szCs w:val="20"/>
              </w:rPr>
              <w:t>Adoptée à l’unanimité des suffrages exprimés</w:t>
            </w:r>
          </w:p>
        </w:tc>
      </w:tr>
    </w:tbl>
    <w:p w:rsidR="00530F32" w:rsidRDefault="00530F32" w:rsidP="00530F32">
      <w:pPr>
        <w:rPr>
          <w:rFonts w:ascii="Century Gothic" w:hAnsi="Century Gothic"/>
        </w:rPr>
      </w:pPr>
    </w:p>
    <w:p w:rsidR="000D0070" w:rsidRPr="001318D2" w:rsidRDefault="000D0070" w:rsidP="00530F32">
      <w:pPr>
        <w:rPr>
          <w:rFonts w:ascii="Century Gothic" w:hAnsi="Century Gothic"/>
          <w:sz w:val="20"/>
          <w:szCs w:val="20"/>
        </w:rPr>
      </w:pPr>
    </w:p>
    <w:p w:rsidR="00A35C3D" w:rsidRDefault="00A35C3D" w:rsidP="00530F32">
      <w:pPr>
        <w:rPr>
          <w:rFonts w:ascii="Century Gothic" w:hAnsi="Century Gothic"/>
          <w:b/>
          <w:sz w:val="20"/>
          <w:szCs w:val="20"/>
        </w:rPr>
      </w:pPr>
    </w:p>
    <w:p w:rsidR="0004756E" w:rsidRDefault="00640763" w:rsidP="00530F32">
      <w:pPr>
        <w:rPr>
          <w:rFonts w:ascii="Century Gothic" w:hAnsi="Century Gothic"/>
          <w:b/>
          <w:sz w:val="20"/>
          <w:szCs w:val="20"/>
        </w:rPr>
      </w:pPr>
      <w:r w:rsidRPr="001318D2">
        <w:rPr>
          <w:rFonts w:ascii="Century Gothic" w:hAnsi="Century Gothic"/>
          <w:b/>
          <w:sz w:val="20"/>
          <w:szCs w:val="20"/>
        </w:rPr>
        <w:t xml:space="preserve">Liste affichée et publiée le </w:t>
      </w:r>
      <w:r w:rsidR="00837EC7">
        <w:rPr>
          <w:rFonts w:ascii="Century Gothic" w:hAnsi="Century Gothic"/>
          <w:b/>
          <w:sz w:val="20"/>
          <w:szCs w:val="20"/>
        </w:rPr>
        <w:t>12</w:t>
      </w:r>
      <w:bookmarkStart w:id="1" w:name="_GoBack"/>
      <w:bookmarkEnd w:id="1"/>
      <w:r w:rsidR="00883A3F">
        <w:rPr>
          <w:rFonts w:ascii="Century Gothic" w:hAnsi="Century Gothic"/>
          <w:b/>
          <w:sz w:val="20"/>
          <w:szCs w:val="20"/>
        </w:rPr>
        <w:t xml:space="preserve"> septembre 2022</w:t>
      </w:r>
    </w:p>
    <w:p w:rsidR="004648D8" w:rsidRDefault="004648D8" w:rsidP="00530F32">
      <w:pPr>
        <w:rPr>
          <w:rFonts w:ascii="Century Gothic" w:hAnsi="Century Gothic"/>
          <w:b/>
          <w:sz w:val="20"/>
          <w:szCs w:val="20"/>
        </w:rPr>
      </w:pPr>
    </w:p>
    <w:p w:rsidR="004648D8" w:rsidRDefault="004648D8" w:rsidP="00530F32">
      <w:pPr>
        <w:rPr>
          <w:rFonts w:ascii="Century Gothic" w:hAnsi="Century Gothic"/>
          <w:b/>
          <w:sz w:val="20"/>
          <w:szCs w:val="20"/>
        </w:rPr>
      </w:pPr>
    </w:p>
    <w:p w:rsidR="004648D8" w:rsidRDefault="004648D8" w:rsidP="00530F32">
      <w:pPr>
        <w:rPr>
          <w:rFonts w:ascii="Century Gothic" w:hAnsi="Century Gothic"/>
          <w:b/>
          <w:sz w:val="20"/>
          <w:szCs w:val="20"/>
        </w:rPr>
      </w:pPr>
    </w:p>
    <w:p w:rsidR="00A35C3D" w:rsidRDefault="00A35C3D" w:rsidP="00530F32">
      <w:pPr>
        <w:rPr>
          <w:rFonts w:ascii="Century Gothic" w:hAnsi="Century Gothic"/>
          <w:b/>
          <w:sz w:val="20"/>
          <w:szCs w:val="20"/>
        </w:rPr>
      </w:pPr>
    </w:p>
    <w:p w:rsidR="004648D8" w:rsidRDefault="004648D8" w:rsidP="00530F32">
      <w:pPr>
        <w:rPr>
          <w:rFonts w:ascii="Century Gothic" w:hAnsi="Century Gothic"/>
          <w:b/>
          <w:sz w:val="20"/>
          <w:szCs w:val="20"/>
        </w:rPr>
      </w:pPr>
    </w:p>
    <w:p w:rsidR="004648D8" w:rsidRDefault="004648D8" w:rsidP="004648D8">
      <w:pPr>
        <w:ind w:left="3540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Le Maire d’Andrézieux-Bouthéon,</w:t>
      </w:r>
    </w:p>
    <w:p w:rsidR="004648D8" w:rsidRDefault="004648D8" w:rsidP="00530F32">
      <w:pPr>
        <w:rPr>
          <w:rFonts w:ascii="Century Gothic" w:hAnsi="Century Gothic"/>
          <w:b/>
          <w:sz w:val="20"/>
          <w:szCs w:val="20"/>
        </w:rPr>
      </w:pPr>
    </w:p>
    <w:p w:rsidR="004648D8" w:rsidRDefault="004648D8" w:rsidP="004648D8">
      <w:pPr>
        <w:ind w:left="3540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François DRIOL</w:t>
      </w:r>
    </w:p>
    <w:p w:rsidR="001318D2" w:rsidRDefault="001318D2" w:rsidP="00530F32">
      <w:pPr>
        <w:rPr>
          <w:rFonts w:ascii="Century Gothic" w:hAnsi="Century Gothic"/>
          <w:b/>
          <w:sz w:val="20"/>
          <w:szCs w:val="20"/>
        </w:rPr>
      </w:pPr>
    </w:p>
    <w:p w:rsidR="001318D2" w:rsidRDefault="00CE7CE5" w:rsidP="00530F3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6288405</wp:posOffset>
            </wp:positionV>
            <wp:extent cx="899160" cy="8991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mpon MAIRI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8D2" w:rsidRPr="001318D2" w:rsidRDefault="001318D2" w:rsidP="00530F32">
      <w:pPr>
        <w:rPr>
          <w:rFonts w:ascii="Century Gothic" w:hAnsi="Century Gothic"/>
          <w:b/>
          <w:color w:val="00B0F0"/>
          <w:sz w:val="20"/>
          <w:szCs w:val="20"/>
        </w:rPr>
      </w:pPr>
    </w:p>
    <w:sectPr w:rsidR="001318D2" w:rsidRPr="0013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999"/>
    <w:multiLevelType w:val="hybridMultilevel"/>
    <w:tmpl w:val="9CC23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32"/>
    <w:rsid w:val="000359AD"/>
    <w:rsid w:val="0004756E"/>
    <w:rsid w:val="000D0070"/>
    <w:rsid w:val="001318D2"/>
    <w:rsid w:val="00392B3F"/>
    <w:rsid w:val="004648D8"/>
    <w:rsid w:val="00530F32"/>
    <w:rsid w:val="00581C39"/>
    <w:rsid w:val="00640763"/>
    <w:rsid w:val="00837EC7"/>
    <w:rsid w:val="00883A3F"/>
    <w:rsid w:val="0092535B"/>
    <w:rsid w:val="00A35C3D"/>
    <w:rsid w:val="00C17FAF"/>
    <w:rsid w:val="00CB1AE1"/>
    <w:rsid w:val="00CE7CE5"/>
    <w:rsid w:val="00CF0BB6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6F0"/>
  <w15:chartTrackingRefBased/>
  <w15:docId w15:val="{19F11CBB-8454-4963-BB33-B7C3B4BF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Andrezieux Boutheon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Thuel-Chassaigne</dc:creator>
  <cp:keywords/>
  <dc:description/>
  <cp:lastModifiedBy>Annick Thuel-Chassaigne</cp:lastModifiedBy>
  <cp:revision>6</cp:revision>
  <cp:lastPrinted>2022-09-12T15:10:00Z</cp:lastPrinted>
  <dcterms:created xsi:type="dcterms:W3CDTF">2022-09-06T10:46:00Z</dcterms:created>
  <dcterms:modified xsi:type="dcterms:W3CDTF">2022-09-12T15:21:00Z</dcterms:modified>
</cp:coreProperties>
</file>